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20F2" w14:textId="30302840" w:rsidR="00ED7801" w:rsidRDefault="00380B56" w:rsidP="00607D82">
      <w:pPr>
        <w:pStyle w:val="Sous-titre"/>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66458F93" w14:textId="4A79D323" w:rsidR="00991838" w:rsidRDefault="00991838" w:rsidP="00991838">
      <w:pPr>
        <w:pStyle w:val="Paragraphedeliste"/>
        <w:ind w:left="-284" w:right="-284"/>
        <w:jc w:val="both"/>
        <w:rPr>
          <w:sz w:val="18"/>
          <w:szCs w:val="18"/>
        </w:rPr>
      </w:pPr>
      <w:r w:rsidRPr="002B0F84">
        <w:rPr>
          <w:rFonts w:ascii="Arial" w:hAnsi="Arial" w:cs="Arial"/>
          <w:color w:val="000000" w:themeColor="text1"/>
          <w:sz w:val="18"/>
          <w:szCs w:val="20"/>
        </w:rPr>
        <w:t xml:space="preserve">Une gestion d’éclairage intelligente sera mise en place dans les </w:t>
      </w:r>
      <w:r>
        <w:rPr>
          <w:rFonts w:ascii="Arial" w:hAnsi="Arial" w:cs="Arial"/>
          <w:color w:val="000000" w:themeColor="text1"/>
          <w:sz w:val="18"/>
          <w:szCs w:val="20"/>
        </w:rPr>
        <w:t>amphithéâtres</w:t>
      </w:r>
      <w:r w:rsidRPr="002B0F84">
        <w:rPr>
          <w:rFonts w:ascii="Arial" w:hAnsi="Arial" w:cs="Arial"/>
          <w:color w:val="000000" w:themeColor="text1"/>
          <w:sz w:val="18"/>
          <w:szCs w:val="20"/>
        </w:rPr>
        <w:t xml:space="preserve"> assurant l’extinction complète des sources </w:t>
      </w:r>
      <w:r>
        <w:rPr>
          <w:rFonts w:ascii="Arial" w:hAnsi="Arial" w:cs="Arial"/>
          <w:color w:val="000000" w:themeColor="text1"/>
          <w:sz w:val="18"/>
          <w:szCs w:val="20"/>
        </w:rPr>
        <w:t xml:space="preserve">lumineuses </w:t>
      </w:r>
      <w:r w:rsidRPr="002B0F84">
        <w:rPr>
          <w:rFonts w:ascii="Arial" w:hAnsi="Arial" w:cs="Arial"/>
          <w:color w:val="000000" w:themeColor="text1"/>
          <w:sz w:val="18"/>
          <w:szCs w:val="20"/>
        </w:rPr>
        <w:t>en cas d’inoccupation. Le système</w:t>
      </w:r>
      <w:r>
        <w:rPr>
          <w:rFonts w:ascii="Arial" w:hAnsi="Arial" w:cs="Arial"/>
          <w:color w:val="000000" w:themeColor="text1"/>
          <w:sz w:val="18"/>
          <w:szCs w:val="20"/>
        </w:rPr>
        <w:t xml:space="preserve"> assurera une modularité des fonctionnements suivant l’activité pratiquée</w:t>
      </w:r>
      <w:r w:rsidR="00D33792">
        <w:rPr>
          <w:rFonts w:ascii="Arial" w:hAnsi="Arial" w:cs="Arial"/>
          <w:color w:val="000000" w:themeColor="text1"/>
          <w:sz w:val="18"/>
          <w:szCs w:val="20"/>
        </w:rPr>
        <w:t xml:space="preserve">, </w:t>
      </w:r>
      <w:r>
        <w:rPr>
          <w:rFonts w:ascii="Arial" w:hAnsi="Arial" w:cs="Arial"/>
          <w:color w:val="000000" w:themeColor="text1"/>
          <w:sz w:val="18"/>
          <w:szCs w:val="20"/>
        </w:rPr>
        <w:t xml:space="preserve">Conférence, Projection… et </w:t>
      </w:r>
      <w:r w:rsidRPr="002B0F84">
        <w:rPr>
          <w:rFonts w:ascii="Arial" w:hAnsi="Arial" w:cs="Arial"/>
          <w:color w:val="000000" w:themeColor="text1"/>
          <w:sz w:val="18"/>
          <w:szCs w:val="20"/>
        </w:rPr>
        <w:t>devra être évolutif permettant d’anticiper une éventuelle extension à de nouvelles installations</w:t>
      </w:r>
      <w:r>
        <w:rPr>
          <w:rFonts w:ascii="Arial" w:hAnsi="Arial" w:cs="Arial"/>
          <w:color w:val="000000" w:themeColor="text1"/>
          <w:sz w:val="18"/>
          <w:szCs w:val="20"/>
        </w:rPr>
        <w:t xml:space="preserve">. </w:t>
      </w:r>
      <w:r>
        <w:rPr>
          <w:rFonts w:ascii="Arial" w:hAnsi="Arial" w:cs="Arial"/>
          <w:sz w:val="18"/>
          <w:szCs w:val="18"/>
        </w:rPr>
        <w:t xml:space="preserve">Le principe de gestion </w:t>
      </w:r>
      <w:r w:rsidRPr="00C42690">
        <w:rPr>
          <w:rFonts w:ascii="Arial" w:hAnsi="Arial" w:cs="Arial"/>
          <w:sz w:val="18"/>
          <w:szCs w:val="18"/>
        </w:rPr>
        <w:t xml:space="preserve">sera basé sur la technologie </w:t>
      </w:r>
      <w:r w:rsidRPr="00C42690">
        <w:rPr>
          <w:rFonts w:ascii="Arial" w:hAnsi="Arial" w:cs="Arial"/>
          <w:b/>
          <w:bCs/>
          <w:sz w:val="18"/>
          <w:szCs w:val="18"/>
        </w:rPr>
        <w:t>DALI2</w:t>
      </w:r>
      <w:r w:rsidRPr="00C42690">
        <w:rPr>
          <w:rFonts w:ascii="Arial" w:hAnsi="Arial" w:cs="Arial"/>
          <w:sz w:val="18"/>
          <w:szCs w:val="18"/>
        </w:rPr>
        <w:t xml:space="preserve">, au standard </w:t>
      </w:r>
      <w:r w:rsidRPr="00C42690">
        <w:rPr>
          <w:rFonts w:ascii="Arial" w:hAnsi="Arial" w:cs="Arial"/>
          <w:b/>
          <w:bCs/>
          <w:sz w:val="18"/>
          <w:szCs w:val="18"/>
        </w:rPr>
        <w:t>CEI 62386</w:t>
      </w:r>
      <w:r w:rsidRPr="00C42690">
        <w:rPr>
          <w:rFonts w:ascii="Arial" w:hAnsi="Arial" w:cs="Arial"/>
          <w:sz w:val="18"/>
          <w:szCs w:val="18"/>
        </w:rPr>
        <w:t>. Le bus DALI sera utilisé pour le raccordement des luminaires et des détecteurs de présence, via des contrôleur</w:t>
      </w:r>
      <w:r>
        <w:rPr>
          <w:rFonts w:ascii="Arial" w:hAnsi="Arial" w:cs="Arial"/>
          <w:sz w:val="18"/>
          <w:szCs w:val="18"/>
        </w:rPr>
        <w:t>s ou interfaces de bus raccordés à la GTB</w:t>
      </w:r>
      <w:r w:rsidRPr="00C42690">
        <w:rPr>
          <w:rFonts w:ascii="Arial" w:hAnsi="Arial" w:cs="Arial"/>
          <w:color w:val="000000" w:themeColor="text1"/>
          <w:sz w:val="18"/>
          <w:szCs w:val="18"/>
        </w:rPr>
        <w:t xml:space="preserve">. </w:t>
      </w:r>
      <w:r w:rsidRPr="00C42690">
        <w:rPr>
          <w:rFonts w:ascii="Arial" w:hAnsi="Arial" w:cs="Arial"/>
          <w:sz w:val="18"/>
          <w:szCs w:val="18"/>
        </w:rPr>
        <w:t>Chaque luminaire sera adressé de manière individuelle, afin de remonter les états et les défauts de chaque appareil à la supervision</w:t>
      </w:r>
      <w:r w:rsidRPr="00C42690">
        <w:rPr>
          <w:sz w:val="18"/>
          <w:szCs w:val="18"/>
        </w:rPr>
        <w:t>.</w:t>
      </w:r>
    </w:p>
    <w:p w14:paraId="15A1DAD7" w14:textId="77777777" w:rsidR="00991838" w:rsidRDefault="00991838" w:rsidP="00991838">
      <w:pPr>
        <w:pStyle w:val="Paragraphedeliste"/>
        <w:ind w:left="-284" w:right="-284"/>
        <w:jc w:val="both"/>
        <w:rPr>
          <w:rFonts w:ascii="Arial" w:hAnsi="Arial" w:cs="Arial"/>
          <w:color w:val="000000" w:themeColor="text1"/>
          <w:sz w:val="18"/>
          <w:szCs w:val="20"/>
        </w:rPr>
      </w:pPr>
    </w:p>
    <w:p w14:paraId="796F7402" w14:textId="1D56A138" w:rsidR="0051624B" w:rsidRPr="00991838" w:rsidRDefault="00991838" w:rsidP="00991838">
      <w:pPr>
        <w:pStyle w:val="Paragraphedeliste"/>
        <w:ind w:left="-284" w:right="-284"/>
        <w:jc w:val="both"/>
        <w:rPr>
          <w:rFonts w:ascii="Arial" w:hAnsi="Arial" w:cs="Arial"/>
          <w:b/>
          <w:bCs/>
          <w:color w:val="FF0000"/>
          <w:sz w:val="18"/>
          <w:szCs w:val="18"/>
        </w:rPr>
      </w:pPr>
      <w:r w:rsidRPr="002B0F84">
        <w:rPr>
          <w:rFonts w:ascii="Arial" w:hAnsi="Arial" w:cs="Arial"/>
          <w:color w:val="000000" w:themeColor="text1"/>
          <w:sz w:val="18"/>
          <w:szCs w:val="20"/>
        </w:rPr>
        <w:t>Par l’intermédiaire de</w:t>
      </w:r>
      <w:r>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p>
    <w:p w14:paraId="60E74995" w14:textId="777CCC6A" w:rsidR="00B13E86" w:rsidRDefault="0051624B" w:rsidP="008829A6">
      <w:pPr>
        <w:pStyle w:val="Default"/>
        <w:numPr>
          <w:ilvl w:val="0"/>
          <w:numId w:val="8"/>
        </w:numPr>
        <w:ind w:left="142" w:right="-426"/>
        <w:jc w:val="both"/>
        <w:rPr>
          <w:rFonts w:ascii="Arial" w:hAnsi="Arial" w:cs="Arial"/>
          <w:color w:val="FF0000"/>
          <w:sz w:val="18"/>
          <w:szCs w:val="18"/>
        </w:rPr>
      </w:pPr>
      <w:bookmarkStart w:id="0" w:name="_Hlk65143166"/>
      <w:r w:rsidRPr="002B0F84">
        <w:rPr>
          <w:rFonts w:ascii="Arial" w:hAnsi="Arial" w:cs="Arial"/>
          <w:color w:val="FF0000"/>
          <w:sz w:val="18"/>
          <w:szCs w:val="18"/>
        </w:rPr>
        <w:t xml:space="preserve">Gestion de l’occupation par détection </w:t>
      </w:r>
      <w:r w:rsidR="00B13E86">
        <w:rPr>
          <w:rFonts w:ascii="Arial" w:hAnsi="Arial" w:cs="Arial"/>
          <w:color w:val="FF0000"/>
          <w:sz w:val="18"/>
          <w:szCs w:val="18"/>
        </w:rPr>
        <w:t>de présence</w:t>
      </w:r>
    </w:p>
    <w:p w14:paraId="25E03280" w14:textId="09BAFF64" w:rsidR="008829A6" w:rsidRDefault="0051624B" w:rsidP="008829A6">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Variation des éclairages, seuil éclairement constant</w:t>
      </w:r>
    </w:p>
    <w:p w14:paraId="465552F9" w14:textId="013F0C64" w:rsidR="00B13E86" w:rsidRPr="002B0F84" w:rsidRDefault="00B13E86" w:rsidP="00B13E86">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principal de l’amphi segmenté en en minimum 2 groupes : </w:t>
      </w:r>
      <w:r w:rsidR="0057270E">
        <w:rPr>
          <w:rFonts w:ascii="Arial" w:hAnsi="Arial" w:cs="Arial"/>
          <w:color w:val="FF0000"/>
          <w:sz w:val="18"/>
          <w:szCs w:val="18"/>
        </w:rPr>
        <w:t>1</w:t>
      </w:r>
      <w:r w:rsidR="0057270E" w:rsidRPr="0057270E">
        <w:rPr>
          <w:rFonts w:ascii="Arial" w:hAnsi="Arial" w:cs="Arial"/>
          <w:color w:val="FF0000"/>
          <w:sz w:val="18"/>
          <w:szCs w:val="18"/>
          <w:vertAlign w:val="superscript"/>
        </w:rPr>
        <w:t>er</w:t>
      </w:r>
      <w:r w:rsidR="0057270E">
        <w:rPr>
          <w:rFonts w:ascii="Arial" w:hAnsi="Arial" w:cs="Arial"/>
          <w:color w:val="FF0000"/>
          <w:sz w:val="18"/>
          <w:szCs w:val="18"/>
        </w:rPr>
        <w:t xml:space="preserve"> jour / 2</w:t>
      </w:r>
      <w:r w:rsidR="0057270E" w:rsidRPr="0057270E">
        <w:rPr>
          <w:rFonts w:ascii="Arial" w:hAnsi="Arial" w:cs="Arial"/>
          <w:color w:val="FF0000"/>
          <w:sz w:val="18"/>
          <w:szCs w:val="18"/>
          <w:vertAlign w:val="superscript"/>
        </w:rPr>
        <w:t>ème</w:t>
      </w:r>
      <w:r w:rsidR="0057270E">
        <w:rPr>
          <w:rFonts w:ascii="Arial" w:hAnsi="Arial" w:cs="Arial"/>
          <w:color w:val="FF0000"/>
          <w:sz w:val="18"/>
          <w:szCs w:val="18"/>
        </w:rPr>
        <w:t xml:space="preserve"> jour </w:t>
      </w:r>
    </w:p>
    <w:p w14:paraId="73B2D9A2" w14:textId="5BE6AB8A" w:rsidR="00B13E86" w:rsidRDefault="00B13E86" w:rsidP="008829A6">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Gestion des éclairages conférencier</w:t>
      </w:r>
    </w:p>
    <w:p w14:paraId="07CEB7D2" w14:textId="07EDDB56" w:rsidR="00B13E86" w:rsidRDefault="00B13E86" w:rsidP="008829A6">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Gestion de l’éclairage tableau ou Ecran </w:t>
      </w:r>
    </w:p>
    <w:p w14:paraId="4B0420B3" w14:textId="0123793A" w:rsidR="00040FAC" w:rsidRDefault="00040FAC" w:rsidP="008829A6">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Par tableau de commande non accessible au public : </w:t>
      </w:r>
    </w:p>
    <w:p w14:paraId="2C339C07" w14:textId="6ACB092E" w:rsidR="00040FAC" w:rsidRDefault="00040FAC" w:rsidP="00040FAC">
      <w:pPr>
        <w:pStyle w:val="Default"/>
        <w:ind w:left="142" w:right="-426"/>
        <w:jc w:val="both"/>
        <w:rPr>
          <w:rFonts w:ascii="Arial" w:hAnsi="Arial" w:cs="Arial"/>
          <w:color w:val="FF0000"/>
          <w:sz w:val="18"/>
          <w:szCs w:val="18"/>
        </w:rPr>
      </w:pPr>
      <w:r>
        <w:rPr>
          <w:rFonts w:ascii="Arial" w:hAnsi="Arial" w:cs="Arial"/>
          <w:color w:val="FF0000"/>
          <w:sz w:val="18"/>
          <w:szCs w:val="18"/>
        </w:rPr>
        <w:t>Gestion de la dérogation des différents circuits d’éclairage (Allumage / Extinction / Variation)</w:t>
      </w:r>
    </w:p>
    <w:p w14:paraId="7AF3428C" w14:textId="49A5735C" w:rsidR="00B13E86" w:rsidRDefault="00B13E86" w:rsidP="00040FAC">
      <w:pPr>
        <w:pStyle w:val="Default"/>
        <w:ind w:left="142" w:right="-426"/>
        <w:jc w:val="both"/>
        <w:rPr>
          <w:rFonts w:ascii="Arial" w:hAnsi="Arial" w:cs="Arial"/>
          <w:color w:val="FF0000"/>
          <w:sz w:val="18"/>
          <w:szCs w:val="18"/>
        </w:rPr>
      </w:pPr>
      <w:r>
        <w:rPr>
          <w:rFonts w:ascii="Arial" w:hAnsi="Arial" w:cs="Arial"/>
          <w:color w:val="FF0000"/>
          <w:sz w:val="18"/>
          <w:szCs w:val="18"/>
        </w:rPr>
        <w:t xml:space="preserve">Gestion de Scénarios de lumière (Conférence, Projection…) </w:t>
      </w:r>
    </w:p>
    <w:p w14:paraId="3CA02BED" w14:textId="77777777" w:rsidR="00991838" w:rsidRDefault="00991838" w:rsidP="00991838">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et de la température par information des capteurs de présence au lot CVC</w:t>
      </w:r>
    </w:p>
    <w:p w14:paraId="76B82062" w14:textId="17934263" w:rsidR="00B13E86" w:rsidRDefault="00B13E86" w:rsidP="00C8077C">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Remise en lumière </w:t>
      </w:r>
      <w:r w:rsidR="00040FAC">
        <w:rPr>
          <w:rFonts w:ascii="Arial" w:hAnsi="Arial" w:cs="Arial"/>
          <w:color w:val="FF0000"/>
          <w:sz w:val="18"/>
          <w:szCs w:val="18"/>
        </w:rPr>
        <w:t>en cas de</w:t>
      </w:r>
      <w:r>
        <w:rPr>
          <w:rFonts w:ascii="Arial" w:hAnsi="Arial" w:cs="Arial"/>
          <w:color w:val="FF0000"/>
          <w:sz w:val="18"/>
          <w:szCs w:val="18"/>
        </w:rPr>
        <w:t xml:space="preserve"> départ incendie </w:t>
      </w:r>
      <w:bookmarkEnd w:id="0"/>
    </w:p>
    <w:p w14:paraId="07668E29" w14:textId="00BC87CF" w:rsidR="00991838" w:rsidRPr="00991838" w:rsidRDefault="00991838" w:rsidP="00991838">
      <w:pPr>
        <w:pStyle w:val="Default"/>
        <w:numPr>
          <w:ilvl w:val="0"/>
          <w:numId w:val="8"/>
        </w:numPr>
        <w:ind w:left="142" w:right="-426"/>
        <w:jc w:val="both"/>
        <w:rPr>
          <w:rFonts w:ascii="Arial" w:hAnsi="Arial" w:cs="Arial"/>
          <w:color w:val="FF0000"/>
          <w:sz w:val="18"/>
          <w:szCs w:val="18"/>
        </w:rPr>
      </w:pPr>
      <w:r w:rsidRPr="002D7C03">
        <w:rPr>
          <w:rFonts w:ascii="Arial" w:hAnsi="Arial" w:cs="Arial"/>
          <w:color w:val="FF0000"/>
          <w:sz w:val="18"/>
          <w:szCs w:val="18"/>
        </w:rPr>
        <w:t>Liaison GTB</w:t>
      </w:r>
    </w:p>
    <w:p w14:paraId="09E7F3A5" w14:textId="50451D8C" w:rsidR="00C8077C" w:rsidRPr="00C8077C" w:rsidRDefault="00C8077C" w:rsidP="00C8077C">
      <w:pPr>
        <w:pStyle w:val="Default"/>
        <w:ind w:left="142" w:right="-426"/>
        <w:jc w:val="both"/>
        <w:rPr>
          <w:rFonts w:ascii="Arial" w:hAnsi="Arial" w:cs="Arial"/>
          <w:color w:val="FF0000"/>
          <w:sz w:val="18"/>
          <w:szCs w:val="18"/>
        </w:rPr>
      </w:pPr>
    </w:p>
    <w:p w14:paraId="1B246017" w14:textId="44A1E5BF" w:rsidR="00991838" w:rsidRPr="00991838" w:rsidRDefault="00B13E86" w:rsidP="00991838">
      <w:pPr>
        <w:pStyle w:val="Paragraphedeliste"/>
        <w:ind w:left="-284" w:right="-426"/>
        <w:jc w:val="both"/>
        <w:rPr>
          <w:rFonts w:ascii="Arial" w:hAnsi="Arial" w:cs="Arial"/>
          <w:i/>
          <w:color w:val="4BACC6" w:themeColor="accent5"/>
          <w:sz w:val="14"/>
          <w:szCs w:val="14"/>
        </w:rPr>
      </w:pPr>
      <w:r w:rsidRPr="00825921">
        <w:rPr>
          <w:rFonts w:ascii="Arial" w:hAnsi="Arial" w:cs="Arial"/>
          <w:b/>
          <w:i/>
          <w:color w:val="4BACC6" w:themeColor="accent5"/>
          <w:sz w:val="14"/>
          <w:szCs w:val="14"/>
        </w:rPr>
        <w:t xml:space="preserve">Réglementation de Sécurité contre les risques d’incendie et de panique dans les Etablissements recevant du public : </w:t>
      </w:r>
      <w:r w:rsidRPr="00825921">
        <w:rPr>
          <w:rFonts w:ascii="Arial" w:hAnsi="Arial" w:cs="Arial"/>
          <w:b/>
          <w:i/>
          <w:iCs/>
          <w:color w:val="4BACC6" w:themeColor="accent5"/>
          <w:sz w:val="14"/>
          <w:szCs w:val="14"/>
        </w:rPr>
        <w:t>EC6.4 (arrêté du 19 novembre 2001) </w:t>
      </w:r>
      <w:r w:rsidRPr="00825921">
        <w:rPr>
          <w:rFonts w:ascii="Arial" w:hAnsi="Arial" w:cs="Arial"/>
          <w:b/>
          <w:i/>
          <w:color w:val="4BACC6" w:themeColor="accent5"/>
          <w:sz w:val="14"/>
          <w:szCs w:val="14"/>
        </w:rPr>
        <w:t xml:space="preserve">: </w:t>
      </w:r>
      <w:r w:rsidRPr="00825921">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24779409" w14:textId="380D9999" w:rsidR="00991838" w:rsidRDefault="00991838" w:rsidP="00991838">
      <w:pPr>
        <w:pStyle w:val="Default"/>
        <w:ind w:left="-284" w:right="-426"/>
        <w:jc w:val="both"/>
        <w:rPr>
          <w:rFonts w:ascii="Arial" w:hAnsi="Arial" w:cs="Arial"/>
          <w:sz w:val="18"/>
          <w:szCs w:val="18"/>
        </w:rPr>
      </w:pPr>
      <w:r w:rsidRPr="00774393">
        <w:rPr>
          <w:rFonts w:ascii="Arial" w:hAnsi="Arial" w:cs="Arial"/>
          <w:sz w:val="18"/>
          <w:szCs w:val="18"/>
        </w:rPr>
        <w:t xml:space="preserve">Le </w:t>
      </w:r>
      <w:r>
        <w:rPr>
          <w:rFonts w:ascii="Arial" w:hAnsi="Arial" w:cs="Arial"/>
          <w:sz w:val="18"/>
          <w:szCs w:val="18"/>
        </w:rPr>
        <w:t>capteurs</w:t>
      </w:r>
      <w:r w:rsidRPr="00774393">
        <w:rPr>
          <w:rFonts w:ascii="Arial" w:hAnsi="Arial" w:cs="Arial"/>
          <w:sz w:val="18"/>
          <w:szCs w:val="18"/>
        </w:rPr>
        <w:t xml:space="preserve"> retenu ser</w:t>
      </w:r>
      <w:r>
        <w:rPr>
          <w:rFonts w:ascii="Arial" w:hAnsi="Arial" w:cs="Arial"/>
          <w:sz w:val="18"/>
          <w:szCs w:val="18"/>
        </w:rPr>
        <w:t>a de type « </w:t>
      </w:r>
      <w:r w:rsidRPr="00255BA0">
        <w:rPr>
          <w:rFonts w:ascii="Arial" w:hAnsi="Arial" w:cs="Arial"/>
          <w:b/>
          <w:bCs/>
          <w:sz w:val="18"/>
          <w:szCs w:val="18"/>
        </w:rPr>
        <w:t>Multi-</w:t>
      </w:r>
      <w:r>
        <w:rPr>
          <w:rFonts w:ascii="Arial" w:hAnsi="Arial" w:cs="Arial"/>
          <w:b/>
          <w:bCs/>
          <w:sz w:val="18"/>
          <w:szCs w:val="18"/>
        </w:rPr>
        <w:t>M</w:t>
      </w:r>
      <w:r w:rsidRPr="00255BA0">
        <w:rPr>
          <w:rFonts w:ascii="Arial" w:hAnsi="Arial" w:cs="Arial"/>
          <w:b/>
          <w:bCs/>
          <w:sz w:val="18"/>
          <w:szCs w:val="18"/>
        </w:rPr>
        <w:t>aitre</w:t>
      </w:r>
      <w:r>
        <w:rPr>
          <w:rFonts w:ascii="Arial" w:hAnsi="Arial" w:cs="Arial"/>
          <w:sz w:val="18"/>
          <w:szCs w:val="18"/>
        </w:rPr>
        <w:t xml:space="preserve"> » sur protocole </w:t>
      </w:r>
      <w:r w:rsidRPr="00255BA0">
        <w:rPr>
          <w:rFonts w:ascii="Arial" w:hAnsi="Arial" w:cs="Arial"/>
          <w:b/>
          <w:bCs/>
          <w:sz w:val="18"/>
          <w:szCs w:val="18"/>
        </w:rPr>
        <w:t>DALI 2</w:t>
      </w:r>
      <w:r>
        <w:rPr>
          <w:rFonts w:ascii="Arial" w:hAnsi="Arial" w:cs="Arial"/>
          <w:sz w:val="18"/>
          <w:szCs w:val="18"/>
        </w:rPr>
        <w:t xml:space="preserve"> </w:t>
      </w:r>
      <w:r w:rsidRPr="00774393">
        <w:rPr>
          <w:rFonts w:ascii="Arial" w:hAnsi="Arial" w:cs="Arial"/>
          <w:sz w:val="18"/>
          <w:szCs w:val="18"/>
        </w:rPr>
        <w:t xml:space="preserve">de marque </w:t>
      </w:r>
      <w:r w:rsidRPr="00774393">
        <w:rPr>
          <w:rFonts w:ascii="Arial" w:hAnsi="Arial" w:cs="Arial"/>
          <w:b/>
          <w:sz w:val="18"/>
          <w:szCs w:val="18"/>
        </w:rPr>
        <w:t>BEG LUXOMAT</w:t>
      </w:r>
      <w:r w:rsidRPr="00774393">
        <w:rPr>
          <w:rFonts w:ascii="Arial" w:hAnsi="Arial" w:cs="Arial"/>
          <w:sz w:val="18"/>
          <w:szCs w:val="18"/>
        </w:rPr>
        <w:t xml:space="preserve"> ou </w:t>
      </w:r>
      <w:r w:rsidRPr="00774393">
        <w:rPr>
          <w:rFonts w:ascii="Arial" w:hAnsi="Arial" w:cs="Arial"/>
          <w:b/>
          <w:sz w:val="18"/>
          <w:szCs w:val="18"/>
        </w:rPr>
        <w:t>techniquement équivalent</w:t>
      </w:r>
      <w:r w:rsidRPr="00774393">
        <w:rPr>
          <w:rFonts w:ascii="Arial" w:hAnsi="Arial" w:cs="Arial"/>
          <w:sz w:val="18"/>
          <w:szCs w:val="18"/>
        </w:rPr>
        <w:t xml:space="preserve"> </w:t>
      </w:r>
      <w:r>
        <w:rPr>
          <w:rFonts w:ascii="Arial" w:hAnsi="Arial" w:cs="Arial"/>
          <w:sz w:val="18"/>
          <w:szCs w:val="18"/>
        </w:rPr>
        <w:t>et aura les caractéristiques techniques suivantes</w:t>
      </w:r>
      <w:r w:rsidRPr="00774393">
        <w:rPr>
          <w:rFonts w:ascii="Arial" w:hAnsi="Arial" w:cs="Arial"/>
          <w:sz w:val="18"/>
          <w:szCs w:val="18"/>
        </w:rPr>
        <w:t xml:space="preserve"> : </w:t>
      </w:r>
    </w:p>
    <w:p w14:paraId="1A76D073" w14:textId="77777777" w:rsidR="00991838" w:rsidRDefault="00991838" w:rsidP="00991838">
      <w:pPr>
        <w:pStyle w:val="Default"/>
        <w:ind w:right="-567"/>
        <w:rPr>
          <w:rFonts w:ascii="Arial" w:hAnsi="Arial" w:cs="Arial"/>
          <w:sz w:val="18"/>
          <w:szCs w:val="18"/>
        </w:rPr>
      </w:pPr>
      <w:bookmarkStart w:id="1" w:name="_Hlk64980575"/>
      <w:bookmarkStart w:id="2" w:name="_Hlk64980512"/>
    </w:p>
    <w:p w14:paraId="5B278193" w14:textId="3544841E" w:rsidR="00991838" w:rsidRPr="009107ED" w:rsidRDefault="00991838" w:rsidP="00991838">
      <w:pPr>
        <w:pStyle w:val="Default"/>
        <w:numPr>
          <w:ilvl w:val="0"/>
          <w:numId w:val="8"/>
        </w:numPr>
        <w:ind w:left="142" w:right="-709"/>
        <w:jc w:val="both"/>
        <w:rPr>
          <w:rFonts w:ascii="Arial" w:hAnsi="Arial" w:cs="Arial"/>
          <w:sz w:val="18"/>
          <w:szCs w:val="18"/>
        </w:rPr>
      </w:pPr>
      <w:r w:rsidRPr="00BC3D74">
        <w:rPr>
          <w:rFonts w:ascii="Arial" w:hAnsi="Arial" w:cs="Arial"/>
          <w:b/>
          <w:noProof/>
          <w:sz w:val="18"/>
          <w:szCs w:val="18"/>
        </w:rPr>
        <w:drawing>
          <wp:anchor distT="0" distB="0" distL="114300" distR="114300" simplePos="0" relativeHeight="251620352" behindDoc="0" locked="0" layoutInCell="1" allowOverlap="1" wp14:anchorId="794FBDB9" wp14:editId="5846485D">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7"/>
                    <a:stretch>
                      <a:fillRect/>
                    </a:stretch>
                  </pic:blipFill>
                  <pic:spPr>
                    <a:xfrm>
                      <a:off x="0" y="0"/>
                      <a:ext cx="741680" cy="471805"/>
                    </a:xfrm>
                    <a:prstGeom prst="rect">
                      <a:avLst/>
                    </a:prstGeom>
                  </pic:spPr>
                </pic:pic>
              </a:graphicData>
            </a:graphic>
          </wp:anchor>
        </w:drawing>
      </w:r>
      <w:r w:rsidRPr="00BC3D74">
        <w:rPr>
          <w:rFonts w:ascii="Arial" w:hAnsi="Arial" w:cs="Arial"/>
          <w:b/>
          <w:noProof/>
          <w:sz w:val="18"/>
          <w:szCs w:val="18"/>
        </w:rPr>
        <w:drawing>
          <wp:anchor distT="0" distB="0" distL="114300" distR="114300" simplePos="0" relativeHeight="251616256" behindDoc="0" locked="0" layoutInCell="1" allowOverlap="1" wp14:anchorId="2587E7A2" wp14:editId="1B530ABA">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7"/>
                    <a:stretch>
                      <a:fillRect/>
                    </a:stretch>
                  </pic:blipFill>
                  <pic:spPr>
                    <a:xfrm>
                      <a:off x="0" y="0"/>
                      <a:ext cx="741680" cy="471805"/>
                    </a:xfrm>
                    <a:prstGeom prst="rect">
                      <a:avLst/>
                    </a:prstGeom>
                  </pic:spPr>
                </pic:pic>
              </a:graphicData>
            </a:graphic>
          </wp:anchor>
        </w:drawing>
      </w:r>
      <w:r w:rsidRPr="00BC3D74">
        <w:rPr>
          <w:rFonts w:ascii="Arial" w:hAnsi="Arial" w:cs="Arial"/>
          <w:b/>
          <w:sz w:val="18"/>
          <w:szCs w:val="18"/>
        </w:rPr>
        <w:t>Multi-capteur DALI</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PDx-</w:t>
      </w:r>
      <w:r>
        <w:rPr>
          <w:rFonts w:ascii="Arial" w:hAnsi="Arial" w:cs="Arial"/>
          <w:b/>
          <w:sz w:val="18"/>
          <w:szCs w:val="18"/>
        </w:rPr>
        <w:t>BMS-DALI2</w:t>
      </w:r>
    </w:p>
    <w:p w14:paraId="15A2CE47" w14:textId="31096520" w:rsidR="00991838" w:rsidRPr="009E44AF" w:rsidRDefault="00991838" w:rsidP="00991838">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Technologie </w:t>
      </w:r>
      <w:r w:rsidRPr="009E44AF">
        <w:rPr>
          <w:rFonts w:ascii="Arial" w:hAnsi="Arial" w:cs="Arial"/>
          <w:b/>
          <w:color w:val="000000"/>
          <w:sz w:val="18"/>
          <w:szCs w:val="18"/>
          <w:lang w:eastAsia="fr-FR"/>
        </w:rPr>
        <w:t>DALI Multi-Maitre</w:t>
      </w:r>
      <w:r w:rsidRPr="009E44AF">
        <w:rPr>
          <w:rFonts w:ascii="Arial" w:hAnsi="Arial" w:cs="Arial"/>
          <w:color w:val="000000"/>
          <w:sz w:val="18"/>
          <w:szCs w:val="18"/>
          <w:lang w:eastAsia="fr-FR"/>
        </w:rPr>
        <w:t xml:space="preserve"> selon </w:t>
      </w:r>
      <w:r w:rsidRPr="009E44AF">
        <w:rPr>
          <w:rFonts w:ascii="Arial" w:hAnsi="Arial" w:cs="Arial"/>
          <w:b/>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103</w:t>
      </w:r>
    </w:p>
    <w:p w14:paraId="21D04686" w14:textId="6274950E" w:rsidR="00991838" w:rsidRPr="00AD5B14" w:rsidRDefault="00991838" w:rsidP="00991838">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Compatible avec contrôleurs DALI 2 respectant la norme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101/103/303/304</w:t>
      </w:r>
      <w:r w:rsidRPr="009E44AF">
        <w:rPr>
          <w:rFonts w:ascii="Arial" w:hAnsi="Arial" w:cs="Arial"/>
          <w:color w:val="000000"/>
          <w:sz w:val="18"/>
          <w:szCs w:val="18"/>
          <w:lang w:eastAsia="fr-FR"/>
        </w:rPr>
        <w:t xml:space="preserve">.La section 0 fournit des informations sur l´attribution des locaux et la détection de mouvement sur le bus DALI selon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303</w:t>
      </w:r>
      <w:r w:rsidRPr="009E44AF">
        <w:rPr>
          <w:rFonts w:ascii="Arial" w:hAnsi="Arial" w:cs="Arial"/>
          <w:color w:val="000000"/>
          <w:sz w:val="18"/>
          <w:szCs w:val="18"/>
          <w:lang w:eastAsia="fr-FR"/>
        </w:rPr>
        <w:t>.</w:t>
      </w:r>
      <w:r>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La section 1 fournit les valeurs LUX sur le bus DALI selon </w:t>
      </w:r>
      <w:r w:rsidRPr="009E44AF">
        <w:rPr>
          <w:rFonts w:ascii="Arial" w:hAnsi="Arial" w:cs="Arial"/>
          <w:b/>
          <w:bCs/>
          <w:color w:val="000000"/>
          <w:sz w:val="18"/>
          <w:szCs w:val="18"/>
          <w:lang w:eastAsia="fr-FR"/>
        </w:rPr>
        <w:t>CEI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304</w:t>
      </w:r>
      <w:r w:rsidRPr="009E44AF">
        <w:rPr>
          <w:rFonts w:ascii="Arial" w:hAnsi="Arial" w:cs="Arial"/>
          <w:color w:val="000000"/>
          <w:sz w:val="18"/>
          <w:szCs w:val="18"/>
          <w:lang w:eastAsia="fr-FR"/>
        </w:rPr>
        <w:t>.</w:t>
      </w:r>
      <w:r>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Le paramétrage est possible par l´intermédiaire d´un contrôleur d´application multi-maîtres provenant de n’importe quel fabricant sur protocole </w:t>
      </w:r>
      <w:r w:rsidRPr="009E44AF">
        <w:rPr>
          <w:rFonts w:ascii="Arial" w:hAnsi="Arial" w:cs="Arial"/>
          <w:b/>
          <w:bCs/>
          <w:color w:val="000000"/>
          <w:sz w:val="18"/>
          <w:szCs w:val="18"/>
          <w:lang w:eastAsia="fr-FR"/>
        </w:rPr>
        <w:t>DALI2</w:t>
      </w:r>
      <w:r w:rsidRPr="009E44AF">
        <w:rPr>
          <w:rFonts w:ascii="Arial" w:hAnsi="Arial" w:cs="Arial"/>
          <w:color w:val="000000"/>
          <w:sz w:val="18"/>
          <w:szCs w:val="18"/>
          <w:lang w:eastAsia="fr-FR"/>
        </w:rPr>
        <w:t xml:space="preserve">  </w:t>
      </w:r>
    </w:p>
    <w:p w14:paraId="4E2E3628" w14:textId="3847665C" w:rsidR="00991838" w:rsidRDefault="009921F0" w:rsidP="00991838">
      <w:pPr>
        <w:pStyle w:val="Default"/>
        <w:ind w:right="-709"/>
        <w:jc w:val="both"/>
        <w:rPr>
          <w:rFonts w:ascii="Arial" w:hAnsi="Arial" w:cs="Arial"/>
          <w:sz w:val="18"/>
          <w:szCs w:val="18"/>
        </w:rPr>
      </w:pPr>
      <w:r w:rsidRPr="009921F0">
        <w:rPr>
          <w:rFonts w:ascii="Arial" w:hAnsi="Arial" w:cs="Arial"/>
          <w:b/>
          <w:noProof/>
          <w:color w:val="auto"/>
          <w:sz w:val="20"/>
          <w:szCs w:val="20"/>
        </w:rPr>
        <mc:AlternateContent>
          <mc:Choice Requires="wps">
            <w:drawing>
              <wp:anchor distT="0" distB="0" distL="114300" distR="114300" simplePos="0" relativeHeight="251703296" behindDoc="0" locked="0" layoutInCell="1" allowOverlap="1" wp14:anchorId="0ECEED4A" wp14:editId="153CE5A5">
                <wp:simplePos x="0" y="0"/>
                <wp:positionH relativeFrom="page">
                  <wp:posOffset>6084570</wp:posOffset>
                </wp:positionH>
                <wp:positionV relativeFrom="paragraph">
                  <wp:posOffset>43815</wp:posOffset>
                </wp:positionV>
                <wp:extent cx="1466850" cy="758190"/>
                <wp:effectExtent l="0" t="0" r="0" b="3810"/>
                <wp:wrapNone/>
                <wp:docPr id="3" name="Zone de texte 3"/>
                <wp:cNvGraphicFramePr/>
                <a:graphic xmlns:a="http://schemas.openxmlformats.org/drawingml/2006/main">
                  <a:graphicData uri="http://schemas.microsoft.com/office/word/2010/wordprocessingShape">
                    <wps:wsp>
                      <wps:cNvSpPr txBox="1"/>
                      <wps:spPr>
                        <a:xfrm>
                          <a:off x="0" y="0"/>
                          <a:ext cx="1466850" cy="758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7C539" w14:textId="77777777" w:rsidR="009921F0" w:rsidRDefault="009921F0" w:rsidP="009921F0">
                            <w:r w:rsidRPr="005F58B4">
                              <w:rPr>
                                <w:noProof/>
                              </w:rPr>
                              <w:drawing>
                                <wp:inline distT="0" distB="0" distL="0" distR="0" wp14:anchorId="5CDB5D9F" wp14:editId="66A3946C">
                                  <wp:extent cx="1277620" cy="629285"/>
                                  <wp:effectExtent l="0" t="0" r="0" b="0"/>
                                  <wp:docPr id="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EED4A" id="_x0000_t202" coordsize="21600,21600" o:spt="202" path="m,l,21600r21600,l21600,xe">
                <v:stroke joinstyle="miter"/>
                <v:path gradientshapeok="t" o:connecttype="rect"/>
              </v:shapetype>
              <v:shape id="Zone de texte 3" o:spid="_x0000_s1026" type="#_x0000_t202" style="position:absolute;left:0;text-align:left;margin-left:479.1pt;margin-top:3.45pt;width:115.5pt;height:59.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" fillcolor="white [3201]" stroked="f" strokeweight=".5pt">
                <v:textbox>
                  <w:txbxContent>
                    <w:p w14:paraId="5DB7C539" w14:textId="77777777" w:rsidR="009921F0" w:rsidRDefault="009921F0" w:rsidP="009921F0">
                      <w:r w:rsidRPr="005F58B4">
                        <w:rPr>
                          <w:noProof/>
                        </w:rPr>
                        <w:drawing>
                          <wp:inline distT="0" distB="0" distL="0" distR="0" wp14:anchorId="5CDB5D9F" wp14:editId="66A3946C">
                            <wp:extent cx="1277620" cy="629285"/>
                            <wp:effectExtent l="0" t="0" r="0" b="0"/>
                            <wp:docPr id="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w10:wrap anchorx="page"/>
              </v:shape>
            </w:pict>
          </mc:Fallback>
        </mc:AlternateContent>
      </w:r>
    </w:p>
    <w:p w14:paraId="7A5B8A61" w14:textId="262EAC64" w:rsidR="00991838" w:rsidRPr="00DF0CB1" w:rsidRDefault="009921F0" w:rsidP="00991838">
      <w:pPr>
        <w:autoSpaceDE w:val="0"/>
        <w:autoSpaceDN w:val="0"/>
        <w:adjustRightInd w:val="0"/>
        <w:spacing w:after="0" w:line="240" w:lineRule="auto"/>
        <w:ind w:left="142" w:right="-426"/>
        <w:jc w:val="both"/>
        <w:rPr>
          <w:rFonts w:ascii="Arial" w:hAnsi="Arial" w:cs="Arial"/>
          <w:color w:val="00B0F0"/>
          <w:sz w:val="18"/>
          <w:szCs w:val="18"/>
        </w:rPr>
      </w:pPr>
      <w:r w:rsidRPr="009921F0">
        <w:rPr>
          <w:rFonts w:ascii="Arial" w:hAnsi="Arial" w:cs="Arial"/>
          <w:b/>
          <w:noProof/>
          <w:sz w:val="20"/>
          <w:szCs w:val="20"/>
        </w:rPr>
        <mc:AlternateContent>
          <mc:Choice Requires="wps">
            <w:drawing>
              <wp:anchor distT="0" distB="0" distL="114300" distR="114300" simplePos="0" relativeHeight="251663360" behindDoc="0" locked="0" layoutInCell="1" allowOverlap="1" wp14:anchorId="0B1AFE46" wp14:editId="5FDDC824">
                <wp:simplePos x="0" y="0"/>
                <wp:positionH relativeFrom="column">
                  <wp:posOffset>4599331</wp:posOffset>
                </wp:positionH>
                <wp:positionV relativeFrom="paragraph">
                  <wp:posOffset>23114</wp:posOffset>
                </wp:positionV>
                <wp:extent cx="894715" cy="526694"/>
                <wp:effectExtent l="0" t="0" r="635" b="6985"/>
                <wp:wrapNone/>
                <wp:docPr id="2" name="Zone de texte 2"/>
                <wp:cNvGraphicFramePr/>
                <a:graphic xmlns:a="http://schemas.openxmlformats.org/drawingml/2006/main">
                  <a:graphicData uri="http://schemas.microsoft.com/office/word/2010/wordprocessingShape">
                    <wps:wsp>
                      <wps:cNvSpPr txBox="1"/>
                      <wps:spPr>
                        <a:xfrm>
                          <a:off x="0" y="0"/>
                          <a:ext cx="894715" cy="526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9F39B" w14:textId="1F634DF8" w:rsidR="009921F0" w:rsidRDefault="009921F0" w:rsidP="009921F0">
                            <w:pPr>
                              <w:jc w:val="center"/>
                            </w:pPr>
                            <w:r>
                              <w:rPr>
                                <w:noProof/>
                              </w:rPr>
                              <w:drawing>
                                <wp:inline distT="0" distB="0" distL="0" distR="0" wp14:anchorId="3FB2EC60" wp14:editId="41A46601">
                                  <wp:extent cx="705485" cy="399285"/>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705485" cy="39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AFE46" id="Zone de texte 2" o:spid="_x0000_s1027" type="#_x0000_t202" style="position:absolute;left:0;text-align:left;margin-left:362.15pt;margin-top:1.8pt;width:70.45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" fillcolor="white [3201]" stroked="f" strokeweight=".5pt">
                <v:textbox>
                  <w:txbxContent>
                    <w:p w14:paraId="2EC9F39B" w14:textId="1F634DF8" w:rsidR="009921F0" w:rsidRDefault="009921F0" w:rsidP="009921F0">
                      <w:pPr>
                        <w:jc w:val="center"/>
                      </w:pPr>
                      <w:r>
                        <w:rPr>
                          <w:noProof/>
                        </w:rPr>
                        <w:drawing>
                          <wp:inline distT="0" distB="0" distL="0" distR="0" wp14:anchorId="3FB2EC60" wp14:editId="41A46601">
                            <wp:extent cx="705485" cy="399285"/>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705485" cy="399285"/>
                                    </a:xfrm>
                                    <a:prstGeom prst="rect">
                                      <a:avLst/>
                                    </a:prstGeom>
                                  </pic:spPr>
                                </pic:pic>
                              </a:graphicData>
                            </a:graphic>
                          </wp:inline>
                        </w:drawing>
                      </w:r>
                    </w:p>
                  </w:txbxContent>
                </v:textbox>
              </v:shape>
            </w:pict>
          </mc:Fallback>
        </mc:AlternateContent>
      </w:r>
    </w:p>
    <w:p w14:paraId="24D89D5B" w14:textId="4FCB6B12" w:rsidR="00991838" w:rsidRDefault="00991838" w:rsidP="00991838">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BMS-DALI2-</w:t>
      </w:r>
      <w:r w:rsidRPr="000B5D62">
        <w:rPr>
          <w:rFonts w:ascii="Arial" w:hAnsi="Arial" w:cs="Arial"/>
          <w:b/>
          <w:bCs/>
          <w:sz w:val="18"/>
          <w:szCs w:val="18"/>
        </w:rPr>
        <w:t>AP/FP</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6E092B8F" w14:textId="77777777" w:rsidR="00991838" w:rsidRDefault="00991838" w:rsidP="00991838">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 xml:space="preserve">Amphithéâtre </w:t>
      </w:r>
      <w:bookmarkEnd w:id="1"/>
      <w:bookmarkEnd w:id="2"/>
    </w:p>
    <w:p w14:paraId="5172E792" w14:textId="77777777" w:rsidR="00991838" w:rsidRDefault="00991838" w:rsidP="00991838">
      <w:pPr>
        <w:autoSpaceDE w:val="0"/>
        <w:autoSpaceDN w:val="0"/>
        <w:adjustRightInd w:val="0"/>
        <w:spacing w:after="0" w:line="240" w:lineRule="auto"/>
        <w:ind w:left="142" w:right="-426"/>
        <w:jc w:val="both"/>
        <w:rPr>
          <w:rFonts w:ascii="Arial" w:hAnsi="Arial" w:cs="Arial"/>
          <w:b/>
          <w:color w:val="00B0F0"/>
          <w:sz w:val="18"/>
          <w:szCs w:val="18"/>
        </w:rPr>
      </w:pPr>
    </w:p>
    <w:p w14:paraId="6C32B71C" w14:textId="5F77BA8D" w:rsidR="00991838" w:rsidRPr="00991838" w:rsidRDefault="00991838" w:rsidP="00991838">
      <w:pPr>
        <w:autoSpaceDE w:val="0"/>
        <w:autoSpaceDN w:val="0"/>
        <w:adjustRightInd w:val="0"/>
        <w:spacing w:after="0" w:line="240" w:lineRule="auto"/>
        <w:ind w:left="142" w:right="-426"/>
        <w:jc w:val="both"/>
        <w:rPr>
          <w:rFonts w:ascii="Arial" w:hAnsi="Arial" w:cs="Arial"/>
          <w:b/>
          <w:color w:val="00B0F0"/>
          <w:sz w:val="18"/>
          <w:szCs w:val="18"/>
        </w:rPr>
      </w:pPr>
    </w:p>
    <w:p w14:paraId="70A7AF18" w14:textId="0F3CA3C5" w:rsidR="00991838" w:rsidRPr="00774393" w:rsidRDefault="00405C96" w:rsidP="00991838">
      <w:pPr>
        <w:pStyle w:val="Default"/>
        <w:ind w:right="-426"/>
        <w:jc w:val="both"/>
        <w:rPr>
          <w:rFonts w:ascii="Arial" w:hAnsi="Arial" w:cs="Arial"/>
          <w:sz w:val="18"/>
          <w:szCs w:val="18"/>
        </w:rPr>
      </w:pPr>
      <w:r w:rsidRPr="00774393">
        <w:rPr>
          <w:rFonts w:ascii="Arial" w:hAnsi="Arial" w:cs="Arial"/>
          <w:noProof/>
          <w:sz w:val="18"/>
          <w:szCs w:val="18"/>
        </w:rPr>
        <mc:AlternateContent>
          <mc:Choice Requires="wps">
            <w:drawing>
              <wp:anchor distT="0" distB="0" distL="114300" distR="114300" simplePos="0" relativeHeight="251658240" behindDoc="0" locked="0" layoutInCell="1" allowOverlap="1" wp14:anchorId="2A6CA830" wp14:editId="7CAFED08">
                <wp:simplePos x="0" y="0"/>
                <wp:positionH relativeFrom="margin">
                  <wp:posOffset>33678</wp:posOffset>
                </wp:positionH>
                <wp:positionV relativeFrom="paragraph">
                  <wp:posOffset>39933</wp:posOffset>
                </wp:positionV>
                <wp:extent cx="6176513" cy="297370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176513" cy="2973705"/>
                        </a:xfrm>
                        <a:prstGeom prst="rect">
                          <a:avLst/>
                        </a:prstGeom>
                        <a:solidFill>
                          <a:schemeClr val="lt1"/>
                        </a:solidFill>
                        <a:ln w="6350">
                          <a:noFill/>
                        </a:ln>
                      </wps:spPr>
                      <wps:txbx>
                        <w:txbxContent>
                          <w:p w14:paraId="1C52AAD0" w14:textId="6ECF832B" w:rsidR="00991838" w:rsidRDefault="009E7F50" w:rsidP="00991838">
                            <w:pPr>
                              <w:jc w:val="center"/>
                            </w:pPr>
                            <w:r>
                              <w:rPr>
                                <w:noProof/>
                              </w:rPr>
                              <w:drawing>
                                <wp:inline distT="0" distB="0" distL="0" distR="0" wp14:anchorId="50634DD3" wp14:editId="2D44B042">
                                  <wp:extent cx="5095875" cy="31439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9588" cy="31462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6CA830" id="Zone de texte 13" o:spid="_x0000_s1028" type="#_x0000_t202" style="position:absolute;left:0;text-align:left;margin-left:2.65pt;margin-top:3.15pt;width:486.35pt;height:23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" fillcolor="white [3201]" stroked="f" strokeweight=".5pt">
                <v:textbox style="mso-fit-shape-to-text:t">
                  <w:txbxContent>
                    <w:p w14:paraId="1C52AAD0" w14:textId="6ECF832B" w:rsidR="00991838" w:rsidRDefault="009E7F50" w:rsidP="00991838">
                      <w:pPr>
                        <w:jc w:val="center"/>
                      </w:pPr>
                      <w:r>
                        <w:rPr>
                          <w:noProof/>
                        </w:rPr>
                        <w:drawing>
                          <wp:inline distT="0" distB="0" distL="0" distR="0" wp14:anchorId="50634DD3" wp14:editId="2D44B042">
                            <wp:extent cx="5095875" cy="31439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9588" cy="3146214"/>
                                    </a:xfrm>
                                    <a:prstGeom prst="rect">
                                      <a:avLst/>
                                    </a:prstGeom>
                                    <a:noFill/>
                                    <a:ln>
                                      <a:noFill/>
                                    </a:ln>
                                  </pic:spPr>
                                </pic:pic>
                              </a:graphicData>
                            </a:graphic>
                          </wp:inline>
                        </w:drawing>
                      </w:r>
                    </w:p>
                  </w:txbxContent>
                </v:textbox>
                <w10:wrap anchorx="margin"/>
              </v:shape>
            </w:pict>
          </mc:Fallback>
        </mc:AlternateContent>
      </w:r>
    </w:p>
    <w:p w14:paraId="6BF52AB8" w14:textId="77777777" w:rsidR="00991838" w:rsidRPr="00774393" w:rsidRDefault="00991838" w:rsidP="00991838">
      <w:pPr>
        <w:ind w:left="-284" w:right="-426"/>
        <w:rPr>
          <w:rFonts w:ascii="Arial" w:hAnsi="Arial" w:cs="Arial"/>
          <w:sz w:val="18"/>
          <w:szCs w:val="18"/>
        </w:rPr>
      </w:pPr>
    </w:p>
    <w:p w14:paraId="3774D08D" w14:textId="1BBA8484" w:rsidR="00991838" w:rsidRPr="00774393" w:rsidRDefault="00991838" w:rsidP="00991838">
      <w:pPr>
        <w:ind w:left="-284" w:right="-426"/>
        <w:rPr>
          <w:rFonts w:ascii="Arial" w:hAnsi="Arial" w:cs="Arial"/>
          <w:sz w:val="18"/>
          <w:szCs w:val="18"/>
        </w:rPr>
      </w:pPr>
    </w:p>
    <w:p w14:paraId="177186DE" w14:textId="77777777" w:rsidR="00991838" w:rsidRDefault="00991838" w:rsidP="00991838">
      <w:pPr>
        <w:autoSpaceDE w:val="0"/>
        <w:autoSpaceDN w:val="0"/>
        <w:adjustRightInd w:val="0"/>
        <w:spacing w:after="0" w:line="240" w:lineRule="auto"/>
        <w:ind w:left="-284" w:right="-426"/>
        <w:rPr>
          <w:rFonts w:ascii="Arial" w:hAnsi="Arial" w:cs="Arial"/>
          <w:bCs/>
          <w:sz w:val="18"/>
          <w:szCs w:val="18"/>
        </w:rPr>
      </w:pPr>
    </w:p>
    <w:p w14:paraId="224A9348" w14:textId="5AEA1D7D" w:rsidR="00991838" w:rsidRPr="00825921" w:rsidRDefault="00991838" w:rsidP="00040FAC">
      <w:pPr>
        <w:pStyle w:val="Paragraphedeliste"/>
        <w:ind w:left="-284" w:right="-426"/>
        <w:jc w:val="both"/>
        <w:rPr>
          <w:rFonts w:ascii="Arial" w:hAnsi="Arial" w:cs="Arial"/>
          <w:i/>
          <w:color w:val="4BACC6" w:themeColor="accent5"/>
          <w:sz w:val="14"/>
          <w:szCs w:val="14"/>
        </w:rPr>
      </w:pPr>
    </w:p>
    <w:sectPr w:rsidR="00991838" w:rsidRPr="00825921" w:rsidSect="00ED7801">
      <w:headerReference w:type="default" r:id="rId11"/>
      <w:pgSz w:w="11906" w:h="16838"/>
      <w:pgMar w:top="692" w:right="1133"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A8C8" w14:textId="77777777" w:rsidR="00EB1239" w:rsidRDefault="00EB1239" w:rsidP="00360CDB">
      <w:pPr>
        <w:spacing w:after="0" w:line="240" w:lineRule="auto"/>
      </w:pPr>
      <w:r>
        <w:separator/>
      </w:r>
    </w:p>
  </w:endnote>
  <w:endnote w:type="continuationSeparator" w:id="0">
    <w:p w14:paraId="0110362D" w14:textId="77777777" w:rsidR="00EB1239" w:rsidRDefault="00EB1239"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3B4A" w14:textId="77777777" w:rsidR="00EB1239" w:rsidRDefault="00EB1239" w:rsidP="00360CDB">
      <w:pPr>
        <w:spacing w:after="0" w:line="240" w:lineRule="auto"/>
      </w:pPr>
      <w:r>
        <w:separator/>
      </w:r>
    </w:p>
  </w:footnote>
  <w:footnote w:type="continuationSeparator" w:id="0">
    <w:p w14:paraId="729409BD" w14:textId="77777777" w:rsidR="00EB1239" w:rsidRDefault="00EB1239"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53E" w14:textId="100BA089" w:rsidR="00360CDB" w:rsidRPr="00360CDB" w:rsidRDefault="00360CDB" w:rsidP="00360CDB">
    <w:pPr>
      <w:ind w:right="850"/>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607D82">
      <w:rPr>
        <w:rFonts w:ascii="Arial" w:hAnsi="Arial" w:cs="Arial"/>
        <w:b/>
        <w:sz w:val="28"/>
        <w:szCs w:val="20"/>
      </w:rPr>
      <w:t>AMPHITHEÂTRE</w:t>
    </w:r>
    <w:r w:rsidR="00F965AE">
      <w:rPr>
        <w:rFonts w:ascii="Arial" w:hAnsi="Arial" w:cs="Arial"/>
        <w:b/>
        <w:sz w:val="28"/>
        <w:szCs w:val="20"/>
      </w:rPr>
      <w:t xml:space="preserve"> </w:t>
    </w:r>
    <w:r w:rsidR="00714979">
      <w:rPr>
        <w:rFonts w:ascii="Arial" w:hAnsi="Arial" w:cs="Arial"/>
        <w:b/>
        <w:sz w:val="28"/>
        <w:szCs w:val="20"/>
      </w:rPr>
      <w:t>-</w:t>
    </w:r>
    <w:r w:rsidR="00F965AE">
      <w:rPr>
        <w:rFonts w:ascii="Arial" w:hAnsi="Arial" w:cs="Arial"/>
        <w:b/>
        <w:sz w:val="28"/>
        <w:szCs w:val="20"/>
      </w:rPr>
      <w:t xml:space="preserve"> Solution</w:t>
    </w:r>
    <w:r w:rsidR="00DC25A1">
      <w:rPr>
        <w:rFonts w:ascii="Arial" w:hAnsi="Arial" w:cs="Arial"/>
        <w:b/>
        <w:sz w:val="28"/>
        <w:szCs w:val="20"/>
      </w:rPr>
      <w:t xml:space="preserve"> GT</w:t>
    </w:r>
    <w:r w:rsidR="00991838">
      <w:rPr>
        <w:rFonts w:ascii="Arial" w:hAnsi="Arial" w:cs="Arial"/>
        <w:b/>
        <w:sz w:val="28"/>
        <w:szCs w:val="20"/>
      </w:rPr>
      <w:t>B</w:t>
    </w:r>
    <w:r w:rsidR="00F965AE">
      <w:rPr>
        <w:rFonts w:ascii="Arial" w:hAnsi="Arial" w:cs="Arial"/>
        <w:b/>
        <w:sz w:val="28"/>
        <w:szCs w:val="20"/>
      </w:rPr>
      <w:t xml:space="preserve"> </w:t>
    </w:r>
    <w:r w:rsidR="002A02F8">
      <w:rPr>
        <w:rFonts w:ascii="Arial" w:hAnsi="Arial" w:cs="Arial"/>
        <w:b/>
        <w:sz w:val="28"/>
        <w:szCs w:val="20"/>
      </w:rPr>
      <w:t>« </w:t>
    </w:r>
    <w:r w:rsidR="00F965AE">
      <w:rPr>
        <w:rFonts w:ascii="Arial" w:hAnsi="Arial" w:cs="Arial"/>
        <w:b/>
        <w:sz w:val="28"/>
        <w:szCs w:val="20"/>
      </w:rPr>
      <w:t>DALI</w:t>
    </w:r>
    <w:r w:rsidR="00991838">
      <w:rPr>
        <w:rFonts w:ascii="Arial" w:hAnsi="Arial" w:cs="Arial"/>
        <w:b/>
        <w:sz w:val="28"/>
        <w:szCs w:val="20"/>
      </w:rPr>
      <w:t xml:space="preserve"> 2</w:t>
    </w:r>
    <w:r w:rsidR="002A02F8">
      <w:rPr>
        <w:rFonts w:ascii="Arial" w:hAnsi="Arial" w:cs="Arial"/>
        <w:b/>
        <w:sz w:val="28"/>
        <w:szCs w:val="20"/>
      </w:rPr>
      <w:t> »</w:t>
    </w:r>
    <w:r w:rsidR="00EE11D4">
      <w:rPr>
        <w:rFonts w:ascii="Arial" w:hAnsi="Arial" w:cs="Arial"/>
        <w:b/>
        <w:sz w:val="2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116F5"/>
    <w:rsid w:val="000234A8"/>
    <w:rsid w:val="00023E40"/>
    <w:rsid w:val="0002484D"/>
    <w:rsid w:val="00037E36"/>
    <w:rsid w:val="00040FAC"/>
    <w:rsid w:val="00053295"/>
    <w:rsid w:val="00060981"/>
    <w:rsid w:val="0007086A"/>
    <w:rsid w:val="0008695F"/>
    <w:rsid w:val="00092027"/>
    <w:rsid w:val="000C35CF"/>
    <w:rsid w:val="000E0B22"/>
    <w:rsid w:val="000F5464"/>
    <w:rsid w:val="00107F4D"/>
    <w:rsid w:val="00114113"/>
    <w:rsid w:val="001225DB"/>
    <w:rsid w:val="0020165A"/>
    <w:rsid w:val="0021586A"/>
    <w:rsid w:val="00266148"/>
    <w:rsid w:val="00286402"/>
    <w:rsid w:val="0029219A"/>
    <w:rsid w:val="002A02F8"/>
    <w:rsid w:val="002F7D5B"/>
    <w:rsid w:val="00305E49"/>
    <w:rsid w:val="00325C9B"/>
    <w:rsid w:val="00352C33"/>
    <w:rsid w:val="00355790"/>
    <w:rsid w:val="00360CDB"/>
    <w:rsid w:val="00380B56"/>
    <w:rsid w:val="003A3792"/>
    <w:rsid w:val="003B0FF6"/>
    <w:rsid w:val="003C77F7"/>
    <w:rsid w:val="003D5D5C"/>
    <w:rsid w:val="003F0783"/>
    <w:rsid w:val="003F64DA"/>
    <w:rsid w:val="00405C96"/>
    <w:rsid w:val="00451205"/>
    <w:rsid w:val="00473668"/>
    <w:rsid w:val="004A1854"/>
    <w:rsid w:val="004A6914"/>
    <w:rsid w:val="004E6AF5"/>
    <w:rsid w:val="0050076A"/>
    <w:rsid w:val="00501481"/>
    <w:rsid w:val="0051624B"/>
    <w:rsid w:val="005242F7"/>
    <w:rsid w:val="005611F8"/>
    <w:rsid w:val="0057270E"/>
    <w:rsid w:val="005842D0"/>
    <w:rsid w:val="005C1343"/>
    <w:rsid w:val="005C49D0"/>
    <w:rsid w:val="005D022D"/>
    <w:rsid w:val="005D4F6F"/>
    <w:rsid w:val="005D5A5D"/>
    <w:rsid w:val="00607D82"/>
    <w:rsid w:val="0062603D"/>
    <w:rsid w:val="00643A7D"/>
    <w:rsid w:val="00672172"/>
    <w:rsid w:val="00683808"/>
    <w:rsid w:val="006964BC"/>
    <w:rsid w:val="006C66D6"/>
    <w:rsid w:val="00706462"/>
    <w:rsid w:val="00714979"/>
    <w:rsid w:val="00726356"/>
    <w:rsid w:val="00762025"/>
    <w:rsid w:val="0076633B"/>
    <w:rsid w:val="00772A48"/>
    <w:rsid w:val="00787B1D"/>
    <w:rsid w:val="00795914"/>
    <w:rsid w:val="007E2E53"/>
    <w:rsid w:val="007E3980"/>
    <w:rsid w:val="00806A37"/>
    <w:rsid w:val="008241BF"/>
    <w:rsid w:val="00825921"/>
    <w:rsid w:val="008678C4"/>
    <w:rsid w:val="008829A6"/>
    <w:rsid w:val="008A7FD5"/>
    <w:rsid w:val="008C2C2E"/>
    <w:rsid w:val="008C4B0B"/>
    <w:rsid w:val="008C5F25"/>
    <w:rsid w:val="008E0A26"/>
    <w:rsid w:val="008F1116"/>
    <w:rsid w:val="0093708B"/>
    <w:rsid w:val="00952D20"/>
    <w:rsid w:val="00972FA9"/>
    <w:rsid w:val="00973FE1"/>
    <w:rsid w:val="00991838"/>
    <w:rsid w:val="009921F0"/>
    <w:rsid w:val="00997420"/>
    <w:rsid w:val="009A560D"/>
    <w:rsid w:val="009C798B"/>
    <w:rsid w:val="009E0D7F"/>
    <w:rsid w:val="009E7F50"/>
    <w:rsid w:val="00A219D0"/>
    <w:rsid w:val="00A22396"/>
    <w:rsid w:val="00A50770"/>
    <w:rsid w:val="00A810DB"/>
    <w:rsid w:val="00A90120"/>
    <w:rsid w:val="00A92B44"/>
    <w:rsid w:val="00AA4968"/>
    <w:rsid w:val="00AB48A0"/>
    <w:rsid w:val="00AC079B"/>
    <w:rsid w:val="00AC354D"/>
    <w:rsid w:val="00AD19EB"/>
    <w:rsid w:val="00AD2183"/>
    <w:rsid w:val="00AD4350"/>
    <w:rsid w:val="00AF0F48"/>
    <w:rsid w:val="00AF3459"/>
    <w:rsid w:val="00B13E86"/>
    <w:rsid w:val="00B472CB"/>
    <w:rsid w:val="00B9210C"/>
    <w:rsid w:val="00B92135"/>
    <w:rsid w:val="00BA1C31"/>
    <w:rsid w:val="00BA21A5"/>
    <w:rsid w:val="00BA6C29"/>
    <w:rsid w:val="00BC3E18"/>
    <w:rsid w:val="00BD1F30"/>
    <w:rsid w:val="00BE2E4E"/>
    <w:rsid w:val="00BE49DC"/>
    <w:rsid w:val="00BF388D"/>
    <w:rsid w:val="00C11820"/>
    <w:rsid w:val="00C21660"/>
    <w:rsid w:val="00C475C6"/>
    <w:rsid w:val="00C55F18"/>
    <w:rsid w:val="00C57568"/>
    <w:rsid w:val="00C739E3"/>
    <w:rsid w:val="00C8077C"/>
    <w:rsid w:val="00C83EC3"/>
    <w:rsid w:val="00CA2ECE"/>
    <w:rsid w:val="00CD5FCC"/>
    <w:rsid w:val="00D13139"/>
    <w:rsid w:val="00D17B21"/>
    <w:rsid w:val="00D33792"/>
    <w:rsid w:val="00D3697C"/>
    <w:rsid w:val="00D46D8B"/>
    <w:rsid w:val="00D52F5D"/>
    <w:rsid w:val="00D938DD"/>
    <w:rsid w:val="00D95A45"/>
    <w:rsid w:val="00DB374C"/>
    <w:rsid w:val="00DB58B1"/>
    <w:rsid w:val="00DC25A1"/>
    <w:rsid w:val="00DC37E7"/>
    <w:rsid w:val="00DC7120"/>
    <w:rsid w:val="00E058D4"/>
    <w:rsid w:val="00E12EEF"/>
    <w:rsid w:val="00E7380C"/>
    <w:rsid w:val="00E77F22"/>
    <w:rsid w:val="00E96A2C"/>
    <w:rsid w:val="00EA4A54"/>
    <w:rsid w:val="00EB1239"/>
    <w:rsid w:val="00EC4E9C"/>
    <w:rsid w:val="00ED7801"/>
    <w:rsid w:val="00EE11D4"/>
    <w:rsid w:val="00F021C0"/>
    <w:rsid w:val="00F308C2"/>
    <w:rsid w:val="00F41FEF"/>
    <w:rsid w:val="00F93E5F"/>
    <w:rsid w:val="00F965AE"/>
    <w:rsid w:val="00FA3FCA"/>
    <w:rsid w:val="00FD7542"/>
    <w:rsid w:val="00FE2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51624B"/>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514</Words>
  <Characters>2830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71</cp:revision>
  <cp:lastPrinted>2021-02-24T08:34:00Z</cp:lastPrinted>
  <dcterms:created xsi:type="dcterms:W3CDTF">2017-05-30T14:43:00Z</dcterms:created>
  <dcterms:modified xsi:type="dcterms:W3CDTF">2021-09-09T14:10:00Z</dcterms:modified>
</cp:coreProperties>
</file>